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5B3BAA" w:rsidRPr="005B3BAA" w:rsidTr="005B3BAA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3BAA" w:rsidRPr="005B3BAA" w:rsidRDefault="005B3BAA" w:rsidP="005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3B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5429250" cy="19050"/>
                  <wp:effectExtent l="0" t="0" r="0" b="0"/>
                  <wp:docPr id="12" name="Kép 12" descr="http://pecsidenar.hu/arc/csi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pecsidenar.hu/arc/csi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BAA" w:rsidRPr="005B3BAA" w:rsidTr="005B3BAA">
        <w:trPr>
          <w:trHeight w:val="330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5B3BAA" w:rsidRPr="005B3BAA" w:rsidRDefault="005B3BAA" w:rsidP="005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B3BAA" w:rsidRPr="005B3BAA" w:rsidTr="005B3BAA">
        <w:trPr>
          <w:trHeight w:val="330"/>
          <w:tblCellSpacing w:w="0" w:type="dxa"/>
        </w:trPr>
        <w:tc>
          <w:tcPr>
            <w:tcW w:w="0" w:type="auto"/>
            <w:shd w:val="clear" w:color="auto" w:fill="FFFFD9"/>
            <w:vAlign w:val="center"/>
            <w:hideMark/>
          </w:tcPr>
          <w:p w:rsidR="005B3BAA" w:rsidRPr="005B3BAA" w:rsidRDefault="005B3BAA" w:rsidP="005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3BA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hu-HU"/>
              </w:rPr>
              <w:t>Egy pécsi éremgy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hu-HU"/>
              </w:rPr>
              <w:t>jt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hu-HU"/>
              </w:rPr>
              <w:t xml:space="preserve"> a dualizmus korából:</w:t>
            </w:r>
            <w:r w:rsidRPr="005B3BA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hu-HU"/>
              </w:rPr>
              <w:br/>
            </w:r>
            <w:proofErr w:type="spellStart"/>
            <w:r w:rsidRPr="005B3BA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hu-HU"/>
              </w:rPr>
              <w:t>Dittmayer</w:t>
            </w:r>
            <w:proofErr w:type="spellEnd"/>
            <w:r w:rsidRPr="005B3BA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hu-HU"/>
              </w:rPr>
              <w:t xml:space="preserve"> Jakab (1825-1887)</w:t>
            </w:r>
          </w:p>
        </w:tc>
      </w:tr>
      <w:tr w:rsidR="005B3BAA" w:rsidRPr="005B3BAA" w:rsidTr="005B3BAA">
        <w:trPr>
          <w:trHeight w:val="330"/>
          <w:tblCellSpacing w:w="0" w:type="dxa"/>
        </w:trPr>
        <w:tc>
          <w:tcPr>
            <w:tcW w:w="0" w:type="auto"/>
            <w:shd w:val="clear" w:color="auto" w:fill="FFFFEA"/>
            <w:vAlign w:val="center"/>
            <w:hideMark/>
          </w:tcPr>
          <w:p w:rsidR="005B3BAA" w:rsidRPr="005B3BAA" w:rsidRDefault="005B3BAA" w:rsidP="005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3B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B3BAA" w:rsidRPr="005B3BAA" w:rsidTr="005B3BAA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3BAA" w:rsidRPr="005B3BAA" w:rsidRDefault="005B3BAA" w:rsidP="005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3B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B3BAA" w:rsidRPr="005B3BAA" w:rsidTr="005B3BAA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3BAA" w:rsidRPr="005B3BAA" w:rsidRDefault="005B3BAA" w:rsidP="00A30E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Múzeumaink (el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)történetének fontos szerepl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i azok a ma már szinte ismeretlen polgárok, akik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jteményüket a </w:t>
            </w:r>
            <w:proofErr w:type="gram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köz javára</w:t>
            </w:r>
            <w:proofErr w:type="gram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ajánlották fel. Jelen tanulmány egy ilyen önzetlen adományozó életrajzát mutatja be.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Jakab György Pesten, Terézvárosban 1825. április 25-én nyerte el a római katolikus keresztséget,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Lorinc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Laurentius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Tittmayer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) és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Spiesländer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Anna gyermekeként. Apja a bajorországi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Gmündenben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Gmünden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am Main) tímármesterként 1823-ban cs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dbe ment, majd Magyarországon próbált szerencsét pékmesterként.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Jakab el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ször cipészként próbálkozott egzisztenciát teremteni, s vargamesterként 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nik fel 1848. július 15-én a pesti (pestmegyei) IV. nemzet</w:t>
            </w:r>
            <w:r w:rsidR="00A30E5E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bookmarkStart w:id="0" w:name="_GoBack"/>
            <w:bookmarkEnd w:id="0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rzászlóalj 1. századában. A Bach-korszakban Baranyában próbálkozott új életet kezdeni. Neve el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ször 1854 szeptemberében jelent meg Pécs város mutatókönyvében, az irat „vaspályai hivatalnok”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-ként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említi. 1856-ban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Jakab gyakornok az alispáni mutatókönyv szerint fegyverviselési engedélyt igényelt. 1861-1862-ben napi díjasként, pécsi szolgabírói díjnokként állt Baranya megye szolgálatában, majd 1862-ben Pécs városánál lett adóügyi, illetve alapítványi pénztárnok, 1866-tól templomgondnok. A pénztárnoki állás betöltéséhez szükséges 1500 forintos biztosítólevélhez jövend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beli második felesége, Wiedemann Anna vállalt kezességet. 1866-ban nyugdíjazását, ill. végkielégítését kérte. 1869-ben tiszteletbeli esküdtnek választották a siklósi járásban. 1872-ben kinevezték a pécsi járás szolgabírói írnokává. 1872-t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 1882-ig királyi ügyészségi végrehajtó a Pécsi királyi törvényszéken. 1877-ben több társával együtt vízvezetéki kérelmet adott be. 1883-tól nyugdíjas, majd 1884-ben letette esküjét, és haláláig községi iskolagondnokként tevékenykedett. Akkoriban ez a tisztség egyfajta gazdasági vezet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i pozíció volt,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nyújtotta be az éves gazdasági számadásokat, s felelt a leltárért. 1885-ben tagja volt az iskolaszék által az Ágoston téri menhely el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készítésére kirendelt bizottságnak.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Jakab 1887. április 27-én 62 évesen, szélütésben halt meg. Végrendeletében ötszáz forint törzst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kével alapítványt létesített az iparostanoncok megsegítésére, melyb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 évente három, az iskolaigazgató által jelölt, vasárnapi iskolát látogató, jó tanuló, szegény sorsú szül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kt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 származó tanonc részesült ösztöndíjban. 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br/>
              <w:t>Végrendelete kultúrtörténeti, társadalomtörténeti adalékkal is szolgál. Az ismert f</w:t>
            </w:r>
            <w:r w:rsidR="00CC2E98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o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glalkozásai alapján vélhet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en átlagos jövedelm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és anyagi helyzet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polgár komoly és áldozatkész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volt. 1882-ben írt testamentumában 42 darabos fegyvergy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jteményr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l, több mint 1000 darabos, arany, ezüst, réz és bronz pénzekb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 álló éremgy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jteményr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l, mamutcsontokról, régi órákról,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r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kr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 és egyéb ezüst, réz és bronz régiségekr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 rendelkezett. Kés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bb több alkalommal is változtatott – talán iskolamesteri hivatása hatására –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jteményei kedvezményezettjén. 1884-ben a f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reáliskolára hagyta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jteményeit, majd 1887-ben, egy hónappal halála el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tt másként döntött. Mesterházy Károly a teljes fegyvergy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jteményét kapta. Az. 1200 darabra becsült éremgy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jteményt és numizmatikáról szóló különböz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munkáit a belvárosi elemi népiskolára hagyta.</w:t>
            </w:r>
          </w:p>
        </w:tc>
      </w:tr>
      <w:tr w:rsidR="005B3BAA" w:rsidRPr="005B3BAA" w:rsidTr="005B3BAA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3BAA" w:rsidRPr="005B3BAA" w:rsidRDefault="005B3BAA" w:rsidP="005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Kitömött állatait, csontvázait, kövületeit 16 vitrinnel az Ágoston téri elemi népiskolára, kagylógy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jteményét, a mamutcsontokat, egyéb kövületeket és 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lastRenderedPageBreak/>
              <w:t>könyvespolcait a polgári leányiskolára, nyolc olajfestményét pedig a f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reáliskola festménygy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jteményére hagyta. Érdekes végrendeletér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 a helyi sajtó is beszámolt. A sajtóban nem egyértelm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, hogy a numizmatikai írásoknak csak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je, vagy szerz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je volt-e, valószín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bb, hogy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je.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jteményei közvetve a városi múzeum hiányára is rávilágítottak, és így talán, ha korlátozott mértékben is, de a helyi múzeumügyre is hatottak. Az 1887. augusztus 16-i városi közgy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lésen Bolgár Kálmán bizottsági tag felrótta, hogyha a helyi múzeumot már felállították volna, akkor a </w:t>
            </w:r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„</w:t>
            </w:r>
            <w:proofErr w:type="spellStart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Dittmayer-féle</w:t>
            </w:r>
            <w:proofErr w:type="spellEnd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nagyérték</w:t>
            </w:r>
            <w:r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ű</w:t>
            </w:r>
            <w:proofErr w:type="spellEnd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 xml:space="preserve"> hagyományok most bizonyára a városi múzeumot gazdagítanák és nem forgácsolódtak volna el.” 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Jakab a kor régészei és numizmatikusai körében nem volt ismeretlen. Nevét a Pécsre látogató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Hampel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József többször is feljegyezte naplóiban, s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t 1872-ben készült jegyzékében leírást is adott a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jteményr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l: </w:t>
            </w:r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„</w:t>
            </w:r>
            <w:proofErr w:type="spellStart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Ditmayer</w:t>
            </w:r>
            <w:proofErr w:type="spellEnd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 xml:space="preserve"> Jakab: m. </w:t>
            </w:r>
            <w:proofErr w:type="spellStart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kir</w:t>
            </w:r>
            <w:proofErr w:type="spellEnd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. végrehajtó: görög meglehet</w:t>
            </w:r>
            <w:r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s számban, de Lipcséb</w:t>
            </w:r>
            <w:r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 xml:space="preserve">l hozatta </w:t>
            </w:r>
            <w:r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ket, van egy-két Baranyában lelt barbárja is, római (elég szép), magyar és külföldi csekély.”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 Feltehet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en részt vett az 1876-os budapesti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srégészeti kongresszuson, mert a tagok névsorában szerepel. Numizmatikusként nemzetközi szinten is ismerhették, ugyanis Horváth Antal és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Wiesner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Rajmár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mellett megemlíti pécsi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ként egy olasz numizmatikai címtár. Az 1882-ben több mint ezer darabos éremgy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jteménye 1887-re körülbelül 1200 darabra b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vült.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br/>
              <w:t>Bolgár Kálmán felvetése ért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fülekre talált az éremgy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jteményt illet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en, ugyanis az 1889. december 3-án tartott városi közgy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lés határozatot hozott, miszerint a csatolt jegyék alapján 908 darabból álló régi pénz- és éremgy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jteményt három, polgármesteri pecséttel lezárt dobozban, a városi pénztárban helyezték el a városi múzeum megalakulásáig. A Pécsi Városi Múzeum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megnyításakor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, 1904. július 12-én, Deutsch Kornél f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számvev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által készített „Pécs szab.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kir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. városházi pénztáránál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rzés végett letett pénzek kimutatása” c. jegyzékben szerepel a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Dittmayer-gy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jteményt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rejt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három doboz 1906. október 25-én Pécs szab.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kir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. </w:t>
            </w:r>
            <w:proofErr w:type="gram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város letétjeként került a múzeum gyarapodási naplójába a tételesen felsorolt 908 darab tárgy.</w:t>
            </w:r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 xml:space="preserve"> „2 </w:t>
            </w:r>
            <w:proofErr w:type="spellStart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drb</w:t>
            </w:r>
            <w:proofErr w:type="spellEnd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 xml:space="preserve"> régi bélyeg, 8 </w:t>
            </w:r>
            <w:proofErr w:type="spellStart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drb</w:t>
            </w:r>
            <w:proofErr w:type="spellEnd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 xml:space="preserve"> régi pecsétlenyomat, 14 </w:t>
            </w:r>
            <w:proofErr w:type="spellStart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drb</w:t>
            </w:r>
            <w:proofErr w:type="spellEnd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 xml:space="preserve"> régi papírpénz, 884 </w:t>
            </w:r>
            <w:proofErr w:type="spellStart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drb</w:t>
            </w:r>
            <w:proofErr w:type="spellEnd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 xml:space="preserve"> régi </w:t>
            </w:r>
            <w:proofErr w:type="spellStart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érczpénz</w:t>
            </w:r>
            <w:proofErr w:type="spellEnd"/>
            <w:r w:rsidRPr="005B3BA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hu-HU"/>
              </w:rPr>
              <w:t>.”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 A jegyzéküket a múzeumi irattárba helyezték, mára azonban sem ott, sem pedig a megyei levéltárban nem lelhet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fel az irat. 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Jakab 1200 darab érmet említ, köztük arany- és ezüstpénzeket is, míg a gyarapodási napló bejegyzése csak 908 tárgyat sorol fel, és nemesfém pénzt egyáltalán nem.</w:t>
            </w:r>
            <w:proofErr w:type="gram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Így nem zárható ki, hogy a hagyományozás és a polgármesteri pecséttel ellátott dobozokban történ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biztonságba helyezés között, a 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 értékesebb, nemesfémpénzei elt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ntek.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br/>
              <w:t xml:space="preserve">Bár a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Dittmayer-gy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jtemény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tételenként bizonyíthatóan ma már nem lelhet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ő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fel a múzeum állományában, de </w:t>
            </w:r>
            <w:proofErr w:type="spellStart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Dittmayer</w:t>
            </w:r>
            <w:proofErr w:type="spellEnd"/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 xml:space="preserve"> Jakab tevékenysége mindenképp érdekes adalékkal szolgál az éremgy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ű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jtés baranyai történetéhez.</w:t>
            </w:r>
          </w:p>
        </w:tc>
      </w:tr>
      <w:tr w:rsidR="005B3BAA" w:rsidRPr="005B3BAA" w:rsidTr="005B3BAA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3BAA" w:rsidRPr="005B3BAA" w:rsidRDefault="005B3BAA" w:rsidP="005B3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lastRenderedPageBreak/>
              <w:t>Wéber Adrie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n</w:t>
            </w:r>
            <w:r w:rsidRPr="005B3B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n</w:t>
            </w:r>
          </w:p>
        </w:tc>
      </w:tr>
    </w:tbl>
    <w:p w:rsidR="00436643" w:rsidRDefault="00436643"/>
    <w:sectPr w:rsidR="0043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AA"/>
    <w:rsid w:val="00436643"/>
    <w:rsid w:val="005B3BAA"/>
    <w:rsid w:val="00A30E5E"/>
    <w:rsid w:val="00C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CCD35-FDF1-4D6D-8EB3-4DC223A9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B3BAA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B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5B3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DDRKTK</Company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bozsik</dc:creator>
  <cp:keywords/>
  <dc:description/>
  <cp:lastModifiedBy>bozsik</cp:lastModifiedBy>
  <cp:revision>2</cp:revision>
  <dcterms:created xsi:type="dcterms:W3CDTF">2017-07-11T12:25:00Z</dcterms:created>
  <dcterms:modified xsi:type="dcterms:W3CDTF">2017-07-11T12:47:00Z</dcterms:modified>
</cp:coreProperties>
</file>